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A73BD" w14:textId="77777777" w:rsidR="00A84A96" w:rsidRPr="00A020E4" w:rsidRDefault="00A84A96" w:rsidP="00A84A96">
      <w:pPr>
        <w:widowControl w:val="0"/>
        <w:tabs>
          <w:tab w:val="left" w:pos="6630"/>
        </w:tabs>
        <w:spacing w:after="464" w:line="254" w:lineRule="exact"/>
        <w:jc w:val="right"/>
        <w:rPr>
          <w:rFonts w:ascii="Tahoma" w:eastAsia="Calibri" w:hAnsi="Tahoma" w:cs="Tahoma"/>
          <w:bCs/>
          <w:sz w:val="21"/>
          <w:szCs w:val="21"/>
          <w:lang w:eastAsia="en-US"/>
        </w:rPr>
      </w:pPr>
      <w:r w:rsidRPr="00A020E4">
        <w:rPr>
          <w:rFonts w:ascii="Tahoma" w:eastAsia="Calibri" w:hAnsi="Tahoma" w:cs="Tahoma"/>
          <w:bCs/>
          <w:sz w:val="21"/>
          <w:szCs w:val="21"/>
          <w:lang w:eastAsia="en-US"/>
        </w:rPr>
        <w:t xml:space="preserve">                                                                                                Załącznik nr </w:t>
      </w:r>
      <w:r>
        <w:rPr>
          <w:rFonts w:ascii="Tahoma" w:eastAsia="Calibri" w:hAnsi="Tahoma" w:cs="Tahoma"/>
          <w:bCs/>
          <w:sz w:val="21"/>
          <w:szCs w:val="21"/>
          <w:lang w:eastAsia="en-US"/>
        </w:rPr>
        <w:t>2</w:t>
      </w:r>
      <w:r w:rsidRPr="00A020E4">
        <w:rPr>
          <w:rFonts w:ascii="Tahoma" w:eastAsia="Calibri" w:hAnsi="Tahoma" w:cs="Tahoma"/>
          <w:bCs/>
          <w:sz w:val="21"/>
          <w:szCs w:val="21"/>
          <w:lang w:eastAsia="en-US"/>
        </w:rPr>
        <w:t xml:space="preserve"> do Oferty</w:t>
      </w:r>
    </w:p>
    <w:p w14:paraId="7296F346" w14:textId="77777777" w:rsidR="00A84A96" w:rsidRPr="00A020E4" w:rsidRDefault="00A84A96" w:rsidP="00A84A96">
      <w:pPr>
        <w:rPr>
          <w:rFonts w:ascii="Tahoma" w:eastAsia="Calibri" w:hAnsi="Tahoma" w:cs="Tahoma"/>
          <w:sz w:val="21"/>
          <w:szCs w:val="21"/>
          <w:lang w:eastAsia="en-US"/>
        </w:rPr>
      </w:pPr>
    </w:p>
    <w:p w14:paraId="23FFA790" w14:textId="77777777" w:rsidR="00A84A96" w:rsidRDefault="00A84A96" w:rsidP="00A84A96">
      <w:pPr>
        <w:pStyle w:val="Nagwek10"/>
        <w:keepNext/>
        <w:keepLines/>
        <w:shd w:val="clear" w:color="auto" w:fill="auto"/>
        <w:spacing w:before="0" w:after="169" w:line="210" w:lineRule="exact"/>
        <w:ind w:firstLine="0"/>
        <w:jc w:val="center"/>
      </w:pPr>
      <w:bookmarkStart w:id="0" w:name="bookmark2"/>
      <w:r w:rsidRPr="00A020E4">
        <w:t>Oświadczenie podmiotu uprawnionego na dzień sporządzenia oferty</w:t>
      </w:r>
      <w:bookmarkEnd w:id="0"/>
    </w:p>
    <w:p w14:paraId="21CBFEC7" w14:textId="5AA4B43B" w:rsidR="00A84A96" w:rsidRPr="00A020E4" w:rsidRDefault="00A84A96" w:rsidP="00A84A96">
      <w:pPr>
        <w:pStyle w:val="Teksttreci110"/>
        <w:shd w:val="clear" w:color="auto" w:fill="auto"/>
        <w:spacing w:before="0"/>
        <w:ind w:firstLine="0"/>
        <w:rPr>
          <w:sz w:val="21"/>
          <w:szCs w:val="21"/>
        </w:rPr>
      </w:pPr>
      <w:r w:rsidRPr="00A020E4">
        <w:rPr>
          <w:sz w:val="21"/>
          <w:szCs w:val="21"/>
        </w:rPr>
        <w:t xml:space="preserve">Oświadczam, że nie zachodzą okoliczności wymienione w art. 66 ustawy z dnia 29 września 1994 r. o rachunkowości </w:t>
      </w:r>
      <w:r w:rsidR="00590044" w:rsidRPr="00A020E4">
        <w:rPr>
          <w:rFonts w:eastAsia="Calibri"/>
          <w:bCs/>
          <w:color w:val="000000"/>
          <w:sz w:val="21"/>
          <w:szCs w:val="21"/>
          <w:lang w:bidi="pl-PL"/>
        </w:rPr>
        <w:t>(</w:t>
      </w:r>
      <w:r w:rsidR="00590044">
        <w:rPr>
          <w:rFonts w:eastAsia="Calibri"/>
          <w:bCs/>
          <w:color w:val="000000"/>
          <w:sz w:val="21"/>
          <w:szCs w:val="21"/>
          <w:lang w:bidi="pl-PL"/>
        </w:rPr>
        <w:t>t.j.</w:t>
      </w:r>
      <w:r w:rsidR="00590044">
        <w:rPr>
          <w:rFonts w:eastAsia="Calibri"/>
          <w:bCs/>
          <w:color w:val="000000"/>
          <w:sz w:val="21"/>
          <w:szCs w:val="21"/>
          <w:lang w:bidi="pl-PL"/>
        </w:rPr>
        <w:t xml:space="preserve"> </w:t>
      </w:r>
      <w:r w:rsidR="00590044" w:rsidRPr="00A020E4">
        <w:rPr>
          <w:rFonts w:eastAsia="Calibri"/>
          <w:bCs/>
          <w:color w:val="000000"/>
          <w:sz w:val="21"/>
          <w:szCs w:val="21"/>
          <w:lang w:bidi="pl-PL"/>
        </w:rPr>
        <w:t>Dz.U.20</w:t>
      </w:r>
      <w:r w:rsidR="00590044">
        <w:rPr>
          <w:rFonts w:eastAsia="Calibri"/>
          <w:bCs/>
          <w:color w:val="000000"/>
          <w:sz w:val="21"/>
          <w:szCs w:val="21"/>
          <w:lang w:bidi="pl-PL"/>
        </w:rPr>
        <w:t>23r., poz</w:t>
      </w:r>
      <w:r w:rsidR="00C65C9F">
        <w:rPr>
          <w:rFonts w:eastAsia="Calibri"/>
          <w:bCs/>
          <w:color w:val="000000"/>
          <w:sz w:val="21"/>
          <w:szCs w:val="21"/>
          <w:lang w:bidi="pl-PL"/>
        </w:rPr>
        <w:t xml:space="preserve">. </w:t>
      </w:r>
      <w:r w:rsidR="00590044" w:rsidRPr="00A020E4">
        <w:rPr>
          <w:rFonts w:eastAsia="Calibri"/>
          <w:bCs/>
          <w:color w:val="000000"/>
          <w:sz w:val="21"/>
          <w:szCs w:val="21"/>
          <w:lang w:bidi="pl-PL"/>
        </w:rPr>
        <w:t>1</w:t>
      </w:r>
      <w:r w:rsidR="00590044">
        <w:rPr>
          <w:rFonts w:eastAsia="Calibri"/>
          <w:bCs/>
          <w:color w:val="000000"/>
          <w:sz w:val="21"/>
          <w:szCs w:val="21"/>
          <w:lang w:bidi="pl-PL"/>
        </w:rPr>
        <w:t>20</w:t>
      </w:r>
      <w:r w:rsidR="00590044" w:rsidRPr="00A020E4">
        <w:rPr>
          <w:rFonts w:eastAsia="Calibri"/>
          <w:bCs/>
          <w:color w:val="000000"/>
          <w:sz w:val="21"/>
          <w:szCs w:val="21"/>
          <w:lang w:bidi="pl-PL"/>
        </w:rPr>
        <w:t xml:space="preserve">) </w:t>
      </w:r>
      <w:r w:rsidRPr="00A020E4">
        <w:rPr>
          <w:sz w:val="21"/>
          <w:szCs w:val="21"/>
        </w:rPr>
        <w:t xml:space="preserve">oraz ustawie z dn. 11.05.2017 r. o biegłych rewidentach, firmach audytorskich oraz nadzorze publicznym </w:t>
      </w:r>
      <w:r w:rsidR="00590044" w:rsidRPr="00A020E4">
        <w:rPr>
          <w:rFonts w:eastAsia="Calibri"/>
          <w:bCs/>
          <w:color w:val="000000"/>
          <w:sz w:val="21"/>
          <w:szCs w:val="21"/>
          <w:lang w:bidi="pl-PL"/>
        </w:rPr>
        <w:t>(</w:t>
      </w:r>
      <w:r w:rsidR="00590044">
        <w:rPr>
          <w:rFonts w:eastAsia="Calibri"/>
          <w:bCs/>
          <w:color w:val="000000"/>
          <w:sz w:val="21"/>
          <w:szCs w:val="21"/>
          <w:lang w:bidi="pl-PL"/>
        </w:rPr>
        <w:t xml:space="preserve">t.j. </w:t>
      </w:r>
      <w:r w:rsidR="00590044" w:rsidRPr="00A020E4">
        <w:rPr>
          <w:rFonts w:eastAsia="Calibri"/>
          <w:bCs/>
          <w:color w:val="000000"/>
          <w:sz w:val="21"/>
          <w:szCs w:val="21"/>
          <w:lang w:bidi="pl-PL"/>
        </w:rPr>
        <w:t>Dz.U.20</w:t>
      </w:r>
      <w:r w:rsidR="00590044">
        <w:rPr>
          <w:rFonts w:eastAsia="Calibri"/>
          <w:bCs/>
          <w:color w:val="000000"/>
          <w:sz w:val="21"/>
          <w:szCs w:val="21"/>
          <w:lang w:bidi="pl-PL"/>
        </w:rPr>
        <w:t xml:space="preserve">24r., poz. </w:t>
      </w:r>
      <w:r w:rsidR="00590044" w:rsidRPr="00A020E4">
        <w:rPr>
          <w:rFonts w:eastAsia="Calibri"/>
          <w:bCs/>
          <w:color w:val="000000"/>
          <w:sz w:val="21"/>
          <w:szCs w:val="21"/>
          <w:lang w:bidi="pl-PL"/>
        </w:rPr>
        <w:t>10</w:t>
      </w:r>
      <w:r w:rsidR="00590044">
        <w:rPr>
          <w:rFonts w:eastAsia="Calibri"/>
          <w:bCs/>
          <w:color w:val="000000"/>
          <w:sz w:val="21"/>
          <w:szCs w:val="21"/>
          <w:lang w:bidi="pl-PL"/>
        </w:rPr>
        <w:t>35</w:t>
      </w:r>
      <w:r w:rsidR="00590044" w:rsidRPr="00A020E4">
        <w:rPr>
          <w:rFonts w:eastAsia="Calibri"/>
          <w:bCs/>
          <w:color w:val="000000"/>
          <w:sz w:val="21"/>
          <w:szCs w:val="21"/>
          <w:lang w:bidi="pl-PL"/>
        </w:rPr>
        <w:t xml:space="preserve"> z </w:t>
      </w:r>
      <w:r w:rsidR="00590044">
        <w:rPr>
          <w:rFonts w:eastAsia="Calibri"/>
          <w:bCs/>
          <w:color w:val="000000"/>
          <w:sz w:val="21"/>
          <w:szCs w:val="21"/>
          <w:lang w:bidi="pl-PL"/>
        </w:rPr>
        <w:t>późn. zm.</w:t>
      </w:r>
      <w:r w:rsidR="00590044" w:rsidRPr="00A020E4">
        <w:rPr>
          <w:rFonts w:eastAsia="Calibri"/>
          <w:bCs/>
          <w:color w:val="000000"/>
          <w:sz w:val="21"/>
          <w:szCs w:val="21"/>
          <w:lang w:bidi="pl-PL"/>
        </w:rPr>
        <w:t>)</w:t>
      </w:r>
      <w:r w:rsidRPr="00A020E4">
        <w:rPr>
          <w:sz w:val="21"/>
          <w:szCs w:val="21"/>
        </w:rPr>
        <w:t>, uniemożliwiające przeprowadzenie bezstronnego i niezależnego:</w:t>
      </w:r>
    </w:p>
    <w:p w14:paraId="29F9EC5D" w14:textId="6A049FD0" w:rsidR="00A84A96" w:rsidRPr="00A020E4" w:rsidRDefault="00A84A96" w:rsidP="00A84A96">
      <w:pPr>
        <w:widowControl w:val="0"/>
        <w:tabs>
          <w:tab w:val="left" w:pos="426"/>
        </w:tabs>
        <w:ind w:left="426" w:hanging="426"/>
        <w:jc w:val="both"/>
      </w:pPr>
      <w:bookmarkStart w:id="1" w:name="bookmark3"/>
      <w:r>
        <w:rPr>
          <w:rFonts w:ascii="Tahoma" w:hAnsi="Tahoma" w:cs="Tahoma"/>
          <w:b/>
          <w:sz w:val="21"/>
          <w:szCs w:val="21"/>
        </w:rPr>
        <w:tab/>
      </w:r>
      <w:r w:rsidRPr="009E54EF">
        <w:rPr>
          <w:rFonts w:ascii="Tahoma" w:hAnsi="Tahoma" w:cs="Tahoma"/>
          <w:b/>
          <w:sz w:val="21"/>
          <w:szCs w:val="21"/>
        </w:rPr>
        <w:t>na usługę badania sprawozda</w:t>
      </w:r>
      <w:r>
        <w:rPr>
          <w:rFonts w:ascii="Tahoma" w:hAnsi="Tahoma" w:cs="Tahoma"/>
          <w:b/>
          <w:sz w:val="21"/>
          <w:szCs w:val="21"/>
        </w:rPr>
        <w:t>nia</w:t>
      </w:r>
      <w:r w:rsidRPr="009E54EF">
        <w:rPr>
          <w:rFonts w:ascii="Tahoma" w:hAnsi="Tahoma" w:cs="Tahoma"/>
          <w:b/>
          <w:sz w:val="21"/>
          <w:szCs w:val="21"/>
        </w:rPr>
        <w:t xml:space="preserve"> finansow</w:t>
      </w:r>
      <w:r>
        <w:rPr>
          <w:rFonts w:ascii="Tahoma" w:hAnsi="Tahoma" w:cs="Tahoma"/>
          <w:b/>
          <w:sz w:val="21"/>
          <w:szCs w:val="21"/>
        </w:rPr>
        <w:t>ego</w:t>
      </w:r>
      <w:r w:rsidRPr="009E54EF">
        <w:rPr>
          <w:rFonts w:ascii="Tahoma" w:hAnsi="Tahoma" w:cs="Tahoma"/>
          <w:b/>
          <w:sz w:val="21"/>
          <w:szCs w:val="21"/>
        </w:rPr>
        <w:t xml:space="preserve"> za 20</w:t>
      </w:r>
      <w:r>
        <w:rPr>
          <w:rFonts w:ascii="Tahoma" w:hAnsi="Tahoma" w:cs="Tahoma"/>
          <w:b/>
          <w:sz w:val="21"/>
          <w:szCs w:val="21"/>
        </w:rPr>
        <w:t>2</w:t>
      </w:r>
      <w:r w:rsidR="003C7E71">
        <w:rPr>
          <w:rFonts w:ascii="Tahoma" w:hAnsi="Tahoma" w:cs="Tahoma"/>
          <w:b/>
          <w:sz w:val="21"/>
          <w:szCs w:val="21"/>
        </w:rPr>
        <w:t>4</w:t>
      </w:r>
      <w:r>
        <w:rPr>
          <w:rFonts w:ascii="Tahoma" w:hAnsi="Tahoma" w:cs="Tahoma"/>
          <w:b/>
          <w:sz w:val="21"/>
          <w:szCs w:val="21"/>
        </w:rPr>
        <w:t xml:space="preserve"> </w:t>
      </w:r>
      <w:r w:rsidRPr="009E54EF">
        <w:rPr>
          <w:rFonts w:ascii="Tahoma" w:hAnsi="Tahoma" w:cs="Tahoma"/>
          <w:b/>
          <w:sz w:val="21"/>
          <w:szCs w:val="21"/>
        </w:rPr>
        <w:t>rok Oleskiego Przedsiębiorstwa Wodociągów i Kanalizacji sp. z o. o. w Oleśnie 46-300 Olesno ul. Lubliniecka 3a NIP: 5761580396 REGON: 366188365.</w:t>
      </w:r>
    </w:p>
    <w:p w14:paraId="73ED7DFB" w14:textId="77777777" w:rsidR="00A84A96" w:rsidRPr="00A020E4" w:rsidRDefault="00A84A96" w:rsidP="00A84A96">
      <w:pPr>
        <w:pStyle w:val="Teksttreci120"/>
        <w:shd w:val="clear" w:color="auto" w:fill="auto"/>
        <w:spacing w:after="279"/>
      </w:pPr>
      <w:r w:rsidRPr="00A020E4">
        <w:t>Podmiot uprawniony do badania sprawozdania finansowego</w:t>
      </w:r>
      <w:bookmarkEnd w:id="1"/>
      <w:r w:rsidRPr="00A020E4">
        <w:tab/>
      </w:r>
    </w:p>
    <w:p w14:paraId="7906E9FC" w14:textId="77777777" w:rsidR="00A84A96" w:rsidRPr="00A020E4" w:rsidRDefault="00A84A96" w:rsidP="00A84A96">
      <w:pPr>
        <w:pStyle w:val="Teksttreci120"/>
        <w:shd w:val="clear" w:color="auto" w:fill="auto"/>
        <w:spacing w:after="0" w:line="240" w:lineRule="auto"/>
      </w:pPr>
      <w:r w:rsidRPr="00A020E4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4B66A7" w14:textId="77777777" w:rsidR="00A84A96" w:rsidRPr="00A020E4" w:rsidRDefault="00A84A96" w:rsidP="00A84A96">
      <w:pPr>
        <w:pStyle w:val="Teksttreci120"/>
        <w:shd w:val="clear" w:color="auto" w:fill="auto"/>
        <w:spacing w:after="0" w:line="240" w:lineRule="auto"/>
      </w:pPr>
    </w:p>
    <w:p w14:paraId="7CADE31D" w14:textId="77777777" w:rsidR="00A84A96" w:rsidRPr="00A020E4" w:rsidRDefault="00A84A96" w:rsidP="00A84A96">
      <w:pPr>
        <w:pStyle w:val="Teksttreci110"/>
        <w:numPr>
          <w:ilvl w:val="0"/>
          <w:numId w:val="1"/>
        </w:numPr>
        <w:shd w:val="clear" w:color="auto" w:fill="auto"/>
        <w:tabs>
          <w:tab w:val="left" w:pos="142"/>
          <w:tab w:val="left" w:pos="284"/>
        </w:tabs>
        <w:spacing w:before="0" w:line="240" w:lineRule="auto"/>
        <w:ind w:left="284" w:hanging="284"/>
        <w:rPr>
          <w:sz w:val="21"/>
          <w:szCs w:val="21"/>
        </w:rPr>
      </w:pPr>
      <w:r w:rsidRPr="00A020E4">
        <w:rPr>
          <w:sz w:val="21"/>
          <w:szCs w:val="21"/>
        </w:rPr>
        <w:t>Nie posiada instrumentów finansowych, w tym udziałów w kapitale własnym, papierów wartościowych w rozumieniu art. 3 pkt 1 ustawy z dnia 29 lipca 2005 r. o obrocie instrumentami finansowymi, kredytów, pożyczek lub innych instrumentów dłużnych, w tym praw i obowiązków do nabycia tych instrumentów finansowych oraz instrumentów pochodnych bezpośrednio powiązanych z tymi instrumentami finansowymi, wyemitowanych przez badaną jednostkę lub wyemitowanych przez jednostkę powiązaną z badaną jednostką, których posiadanie może spowodować lub może być postrzegane przez obiektywną, racjonalną i poinformowaną osobę trzecią jako powodujące konflikt interesów.</w:t>
      </w:r>
    </w:p>
    <w:p w14:paraId="35EED68F" w14:textId="77777777" w:rsidR="00A84A96" w:rsidRPr="00A020E4" w:rsidRDefault="00A84A96" w:rsidP="00A84A96">
      <w:pPr>
        <w:pStyle w:val="Teksttreci110"/>
        <w:numPr>
          <w:ilvl w:val="0"/>
          <w:numId w:val="1"/>
        </w:numPr>
        <w:shd w:val="clear" w:color="auto" w:fill="auto"/>
        <w:tabs>
          <w:tab w:val="left" w:pos="142"/>
          <w:tab w:val="left" w:pos="284"/>
        </w:tabs>
        <w:spacing w:before="0" w:line="240" w:lineRule="auto"/>
        <w:ind w:left="284" w:hanging="284"/>
        <w:rPr>
          <w:sz w:val="21"/>
          <w:szCs w:val="21"/>
        </w:rPr>
      </w:pPr>
      <w:r w:rsidRPr="00A020E4">
        <w:rPr>
          <w:sz w:val="21"/>
          <w:szCs w:val="21"/>
        </w:rPr>
        <w:t xml:space="preserve">Nie uczestniczy w transakcjach, których przedmiotem są instrumenty finansowe, określone </w:t>
      </w:r>
      <w:r>
        <w:rPr>
          <w:sz w:val="21"/>
          <w:szCs w:val="21"/>
        </w:rPr>
        <w:br/>
      </w:r>
      <w:r w:rsidRPr="00A020E4">
        <w:rPr>
          <w:sz w:val="21"/>
          <w:szCs w:val="21"/>
        </w:rPr>
        <w:t>w pkt 1.</w:t>
      </w:r>
    </w:p>
    <w:p w14:paraId="26A9EBB7" w14:textId="77777777" w:rsidR="00A84A96" w:rsidRPr="00A020E4" w:rsidRDefault="00A84A96" w:rsidP="00A84A96">
      <w:pPr>
        <w:pStyle w:val="Teksttreci110"/>
        <w:numPr>
          <w:ilvl w:val="0"/>
          <w:numId w:val="1"/>
        </w:numPr>
        <w:shd w:val="clear" w:color="auto" w:fill="auto"/>
        <w:tabs>
          <w:tab w:val="left" w:pos="142"/>
          <w:tab w:val="left" w:pos="284"/>
        </w:tabs>
        <w:autoSpaceDE w:val="0"/>
        <w:autoSpaceDN w:val="0"/>
        <w:adjustRightInd w:val="0"/>
        <w:spacing w:before="0" w:line="240" w:lineRule="auto"/>
        <w:ind w:left="284" w:hanging="284"/>
        <w:rPr>
          <w:sz w:val="21"/>
          <w:szCs w:val="21"/>
        </w:rPr>
      </w:pPr>
      <w:r w:rsidRPr="00A020E4">
        <w:rPr>
          <w:sz w:val="21"/>
          <w:szCs w:val="21"/>
        </w:rPr>
        <w:t xml:space="preserve">W okresie objętym badanym sprawozdaniem finansowym oraz okresie przeprowadzania badania, nie pozostaje z badaną jednostką w stosunku pracy, stosunku gospodarczym lub innym stosunku, który może spowodować lub może być postrzegany przez obiektywną, racjonalną </w:t>
      </w:r>
      <w:r>
        <w:rPr>
          <w:sz w:val="21"/>
          <w:szCs w:val="21"/>
        </w:rPr>
        <w:br/>
      </w:r>
      <w:r w:rsidRPr="00A020E4">
        <w:rPr>
          <w:sz w:val="21"/>
          <w:szCs w:val="21"/>
        </w:rPr>
        <w:t>i poinformowaną osobę trzecią jako powodujący konflikt interesów.</w:t>
      </w:r>
    </w:p>
    <w:p w14:paraId="5FC4950F" w14:textId="77777777" w:rsidR="00A84A96" w:rsidRPr="00A020E4" w:rsidRDefault="00A84A96" w:rsidP="00A84A96">
      <w:pPr>
        <w:pStyle w:val="Teksttreci110"/>
        <w:numPr>
          <w:ilvl w:val="0"/>
          <w:numId w:val="1"/>
        </w:numPr>
        <w:shd w:val="clear" w:color="auto" w:fill="auto"/>
        <w:tabs>
          <w:tab w:val="left" w:pos="142"/>
          <w:tab w:val="left" w:pos="284"/>
        </w:tabs>
        <w:autoSpaceDE w:val="0"/>
        <w:autoSpaceDN w:val="0"/>
        <w:adjustRightInd w:val="0"/>
        <w:spacing w:before="0" w:line="240" w:lineRule="auto"/>
        <w:ind w:left="284" w:hanging="284"/>
        <w:rPr>
          <w:sz w:val="21"/>
          <w:szCs w:val="21"/>
        </w:rPr>
      </w:pPr>
      <w:r w:rsidRPr="00A020E4">
        <w:rPr>
          <w:sz w:val="21"/>
          <w:szCs w:val="21"/>
        </w:rPr>
        <w:t>Nie uczestniczył w prowadzeniu ksiąg rachunkowych lub sporządzaniu dokumentacji księgowej lub sprawozdań finansowych badanej jednostki w roku obrotowym poprzedzającym okres objęty badaniem, w okresie objętym badanym sprawozdaniem lub okresie przeprowadzania badania.</w:t>
      </w:r>
    </w:p>
    <w:p w14:paraId="13974887" w14:textId="77777777" w:rsidR="00A84A96" w:rsidRPr="00A020E4" w:rsidRDefault="00A84A96" w:rsidP="00A84A96">
      <w:pPr>
        <w:pStyle w:val="Teksttreci110"/>
        <w:numPr>
          <w:ilvl w:val="0"/>
          <w:numId w:val="1"/>
        </w:numPr>
        <w:shd w:val="clear" w:color="auto" w:fill="auto"/>
        <w:tabs>
          <w:tab w:val="left" w:pos="142"/>
          <w:tab w:val="left" w:pos="284"/>
        </w:tabs>
        <w:autoSpaceDE w:val="0"/>
        <w:autoSpaceDN w:val="0"/>
        <w:adjustRightInd w:val="0"/>
        <w:spacing w:before="0" w:line="240" w:lineRule="auto"/>
        <w:ind w:left="284" w:hanging="284"/>
        <w:rPr>
          <w:sz w:val="21"/>
          <w:szCs w:val="21"/>
        </w:rPr>
      </w:pPr>
      <w:r w:rsidRPr="00A020E4">
        <w:rPr>
          <w:sz w:val="21"/>
          <w:szCs w:val="21"/>
        </w:rPr>
        <w:t>Nie jest przedstawicielem prawnym (pełnomocnikiem), członkiem organów nadzorczych, zarządzających lub pracownikiem badanej jednostki lub jednostki z nią powiązanej.</w:t>
      </w:r>
    </w:p>
    <w:p w14:paraId="2DC621FC" w14:textId="77777777" w:rsidR="00A84A96" w:rsidRPr="00A020E4" w:rsidRDefault="00A84A96" w:rsidP="00A84A96">
      <w:pPr>
        <w:pStyle w:val="Teksttreci110"/>
        <w:numPr>
          <w:ilvl w:val="0"/>
          <w:numId w:val="1"/>
        </w:numPr>
        <w:shd w:val="clear" w:color="auto" w:fill="auto"/>
        <w:tabs>
          <w:tab w:val="left" w:pos="142"/>
          <w:tab w:val="left" w:pos="284"/>
        </w:tabs>
        <w:autoSpaceDE w:val="0"/>
        <w:autoSpaceDN w:val="0"/>
        <w:adjustRightInd w:val="0"/>
        <w:spacing w:before="0" w:line="240" w:lineRule="auto"/>
        <w:ind w:left="284" w:hanging="284"/>
        <w:rPr>
          <w:sz w:val="21"/>
          <w:szCs w:val="21"/>
        </w:rPr>
      </w:pPr>
      <w:r w:rsidRPr="00A020E4">
        <w:rPr>
          <w:sz w:val="21"/>
          <w:szCs w:val="21"/>
        </w:rPr>
        <w:t>Nie bierze udziału w procesie zarządzania badaną jednostką i podejmowania przez nią decyzji.</w:t>
      </w:r>
    </w:p>
    <w:p w14:paraId="25128A34" w14:textId="77777777" w:rsidR="00A84A96" w:rsidRPr="00827B2E" w:rsidRDefault="00A84A96" w:rsidP="00A84A96">
      <w:pPr>
        <w:pStyle w:val="Teksttreci110"/>
        <w:numPr>
          <w:ilvl w:val="0"/>
          <w:numId w:val="1"/>
        </w:numPr>
        <w:shd w:val="clear" w:color="auto" w:fill="auto"/>
        <w:tabs>
          <w:tab w:val="left" w:pos="142"/>
          <w:tab w:val="left" w:pos="284"/>
        </w:tabs>
        <w:autoSpaceDE w:val="0"/>
        <w:autoSpaceDN w:val="0"/>
        <w:adjustRightInd w:val="0"/>
        <w:spacing w:before="0" w:line="240" w:lineRule="auto"/>
        <w:ind w:left="284" w:hanging="284"/>
        <w:rPr>
          <w:sz w:val="21"/>
          <w:szCs w:val="21"/>
        </w:rPr>
      </w:pPr>
      <w:r w:rsidRPr="00827B2E">
        <w:rPr>
          <w:sz w:val="21"/>
          <w:szCs w:val="21"/>
        </w:rPr>
        <w:t>Nie świadczy usług innych niż badanie, mających istotny wpływ na badane sprawozdanie finansowe.</w:t>
      </w:r>
    </w:p>
    <w:p w14:paraId="534CB592" w14:textId="77777777" w:rsidR="00A84A96" w:rsidRPr="00A020E4" w:rsidRDefault="00A84A96" w:rsidP="00A84A96">
      <w:pPr>
        <w:pStyle w:val="Teksttreci110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before="0" w:line="240" w:lineRule="auto"/>
        <w:ind w:left="284" w:hanging="284"/>
        <w:rPr>
          <w:sz w:val="21"/>
          <w:szCs w:val="21"/>
        </w:rPr>
      </w:pPr>
      <w:r w:rsidRPr="00A020E4">
        <w:rPr>
          <w:sz w:val="21"/>
          <w:szCs w:val="21"/>
        </w:rPr>
        <w:t xml:space="preserve">Nie istnieje zagrożenie wystąpienia autokontroli, czerpania korzyści własnych, promowania interesów badanej jednostki, zażyłości lub zastraszenia spowodowanych stosunkiem finansowym, osobistym, gospodarczym, zatrudnienia lub innym między badaną jednostką </w:t>
      </w:r>
      <w:r>
        <w:rPr>
          <w:sz w:val="21"/>
          <w:szCs w:val="21"/>
        </w:rPr>
        <w:br/>
      </w:r>
      <w:r w:rsidRPr="00A020E4">
        <w:rPr>
          <w:sz w:val="21"/>
          <w:szCs w:val="21"/>
        </w:rPr>
        <w:t xml:space="preserve">a kluczowym biegłym rewidentem, firmą audytorską, członkiem sieci, do której należy firma audytorska, lub osobą fizyczną mogącą wpłynąć na wynik badania, wskutek czego obiektywna, racjonalna i poinformowana osoba trzecia mogłaby wnioskować, że niezależność kluczowego biegłego rewidenta lub firmy audytorskiej jest zagrożona pomimo zastosowania zabezpieczeń zmierzających do wyeliminowania lub zredukowania zagrożenia do akceptowalnego poziomu. </w:t>
      </w:r>
    </w:p>
    <w:p w14:paraId="40DE8339" w14:textId="77777777" w:rsidR="00A84A96" w:rsidRPr="00A020E4" w:rsidRDefault="00A84A96" w:rsidP="00A84A96">
      <w:pPr>
        <w:pStyle w:val="Teksttreci110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before="0" w:line="240" w:lineRule="auto"/>
        <w:ind w:left="284" w:hanging="284"/>
        <w:rPr>
          <w:sz w:val="21"/>
          <w:szCs w:val="21"/>
        </w:rPr>
      </w:pPr>
      <w:r w:rsidRPr="00A020E4">
        <w:rPr>
          <w:sz w:val="21"/>
          <w:szCs w:val="21"/>
        </w:rPr>
        <w:t>Nie istnieją inne okoliczności naruszające niezależność w stopniu uniemożliwiającym ograniczenie tego naruszenia przy użyciu jakiegokolwiek zabezpieczenia, które nie pozwalają na sporządzenie bezstronnego i niezależnego sprawozdania z badania.</w:t>
      </w:r>
    </w:p>
    <w:p w14:paraId="335CEBBD" w14:textId="77777777" w:rsidR="00A84A96" w:rsidRPr="00A020E4" w:rsidRDefault="00A84A96" w:rsidP="00A84A96">
      <w:pPr>
        <w:pStyle w:val="Teksttreci110"/>
        <w:shd w:val="clear" w:color="auto" w:fill="auto"/>
        <w:tabs>
          <w:tab w:val="left" w:pos="284"/>
        </w:tabs>
        <w:spacing w:before="0" w:line="240" w:lineRule="auto"/>
        <w:ind w:left="284" w:firstLine="0"/>
        <w:rPr>
          <w:sz w:val="21"/>
          <w:szCs w:val="21"/>
        </w:rPr>
      </w:pPr>
    </w:p>
    <w:p w14:paraId="0ECC76D3" w14:textId="77777777" w:rsidR="00A84A96" w:rsidRPr="00A020E4" w:rsidRDefault="00A84A96" w:rsidP="00A84A96">
      <w:pPr>
        <w:pStyle w:val="Teksttreci110"/>
        <w:shd w:val="clear" w:color="auto" w:fill="auto"/>
        <w:tabs>
          <w:tab w:val="left" w:pos="284"/>
        </w:tabs>
        <w:spacing w:before="0" w:line="240" w:lineRule="auto"/>
        <w:ind w:left="284" w:firstLine="0"/>
        <w:rPr>
          <w:sz w:val="21"/>
          <w:szCs w:val="21"/>
        </w:rPr>
      </w:pPr>
      <w:r w:rsidRPr="00A020E4">
        <w:rPr>
          <w:sz w:val="21"/>
          <w:szCs w:val="21"/>
        </w:rPr>
        <w:t>……………………………………………..</w:t>
      </w:r>
    </w:p>
    <w:p w14:paraId="54F722DD" w14:textId="77777777" w:rsidR="00A84A96" w:rsidRPr="00A020E4" w:rsidRDefault="00A84A96" w:rsidP="00A84A96">
      <w:pPr>
        <w:pStyle w:val="Teksttreci110"/>
        <w:shd w:val="clear" w:color="auto" w:fill="auto"/>
        <w:tabs>
          <w:tab w:val="left" w:pos="284"/>
        </w:tabs>
        <w:spacing w:before="0" w:line="240" w:lineRule="auto"/>
        <w:ind w:left="284" w:firstLine="0"/>
        <w:rPr>
          <w:sz w:val="21"/>
          <w:szCs w:val="21"/>
        </w:rPr>
      </w:pPr>
      <w:r>
        <w:rPr>
          <w:sz w:val="21"/>
          <w:szCs w:val="21"/>
        </w:rPr>
        <w:t xml:space="preserve">Data oraz </w:t>
      </w:r>
      <w:r w:rsidRPr="00A020E4">
        <w:rPr>
          <w:sz w:val="21"/>
          <w:szCs w:val="21"/>
        </w:rPr>
        <w:t>podpis biegłego rewidenta</w:t>
      </w:r>
    </w:p>
    <w:p w14:paraId="28016A8D" w14:textId="77777777" w:rsidR="00A84A96" w:rsidRPr="00A020E4" w:rsidRDefault="00A84A96" w:rsidP="00A84A96">
      <w:pPr>
        <w:widowControl w:val="0"/>
        <w:tabs>
          <w:tab w:val="left" w:pos="4935"/>
        </w:tabs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                                                                              ……………………………………………………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ab/>
      </w:r>
    </w:p>
    <w:p w14:paraId="59617D23" w14:textId="77777777" w:rsidR="00A84A96" w:rsidRPr="00A020E4" w:rsidRDefault="00A84A96" w:rsidP="00A84A96">
      <w:pPr>
        <w:widowControl w:val="0"/>
        <w:jc w:val="right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Data oraz </w:t>
      </w: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 xml:space="preserve">podpis i pieczątka imienna osoby upoważnionej </w:t>
      </w:r>
    </w:p>
    <w:p w14:paraId="270AA54D" w14:textId="657BDBC8" w:rsidR="00586970" w:rsidRPr="00A84A96" w:rsidRDefault="00A84A96" w:rsidP="00A84A96">
      <w:pPr>
        <w:widowControl w:val="0"/>
        <w:jc w:val="right"/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</w:pPr>
      <w:r w:rsidRPr="00A020E4">
        <w:rPr>
          <w:rFonts w:ascii="Tahoma" w:eastAsia="Calibri" w:hAnsi="Tahoma" w:cs="Tahoma"/>
          <w:bCs/>
          <w:color w:val="000000"/>
          <w:sz w:val="21"/>
          <w:szCs w:val="21"/>
          <w:lang w:bidi="pl-PL"/>
        </w:rPr>
        <w:t>do reprezentowania firmy</w:t>
      </w:r>
    </w:p>
    <w:sectPr w:rsidR="00586970" w:rsidRPr="00A84A96" w:rsidSect="00EA1F27">
      <w:pgSz w:w="11906" w:h="16838"/>
      <w:pgMar w:top="709" w:right="1417" w:bottom="1417" w:left="1417" w:header="708" w:footer="51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1648A"/>
    <w:multiLevelType w:val="multilevel"/>
    <w:tmpl w:val="8814FFD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91759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A96"/>
    <w:rsid w:val="00126C99"/>
    <w:rsid w:val="003C7E71"/>
    <w:rsid w:val="004408D4"/>
    <w:rsid w:val="00586970"/>
    <w:rsid w:val="00590044"/>
    <w:rsid w:val="009B2DFE"/>
    <w:rsid w:val="00A8253E"/>
    <w:rsid w:val="00A84A96"/>
    <w:rsid w:val="00BC683E"/>
    <w:rsid w:val="00C65C9F"/>
    <w:rsid w:val="00DD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4BFE5"/>
  <w15:chartTrackingRefBased/>
  <w15:docId w15:val="{25A17898-48D6-4B42-BA68-3F59065BA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4A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link w:val="Nagwek10"/>
    <w:rsid w:val="00A84A96"/>
    <w:rPr>
      <w:rFonts w:ascii="Tahoma" w:eastAsia="Tahoma" w:hAnsi="Tahoma" w:cs="Tahoma"/>
      <w:b/>
      <w:bCs/>
      <w:sz w:val="21"/>
      <w:szCs w:val="21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A84A96"/>
    <w:pPr>
      <w:widowControl w:val="0"/>
      <w:shd w:val="clear" w:color="auto" w:fill="FFFFFF"/>
      <w:spacing w:before="480" w:line="259" w:lineRule="exact"/>
      <w:ind w:hanging="340"/>
      <w:jc w:val="both"/>
      <w:outlineLvl w:val="0"/>
    </w:pPr>
    <w:rPr>
      <w:rFonts w:ascii="Tahoma" w:eastAsia="Tahoma" w:hAnsi="Tahoma" w:cs="Tahoma"/>
      <w:b/>
      <w:bCs/>
      <w:kern w:val="2"/>
      <w:sz w:val="21"/>
      <w:szCs w:val="21"/>
      <w:lang w:eastAsia="en-US"/>
      <w14:ligatures w14:val="standardContextual"/>
    </w:rPr>
  </w:style>
  <w:style w:type="character" w:customStyle="1" w:styleId="Teksttreci11">
    <w:name w:val="Tekst treści (11)_"/>
    <w:link w:val="Teksttreci110"/>
    <w:rsid w:val="00A84A96"/>
    <w:rPr>
      <w:rFonts w:ascii="Tahoma" w:eastAsia="Tahoma" w:hAnsi="Tahoma" w:cs="Tahoma"/>
      <w:shd w:val="clear" w:color="auto" w:fill="FFFFFF"/>
    </w:rPr>
  </w:style>
  <w:style w:type="character" w:customStyle="1" w:styleId="Teksttreci12">
    <w:name w:val="Tekst treści (12)_"/>
    <w:link w:val="Teksttreci120"/>
    <w:rsid w:val="00A84A96"/>
    <w:rPr>
      <w:rFonts w:ascii="Tahoma" w:eastAsia="Tahoma" w:hAnsi="Tahoma" w:cs="Tahoma"/>
      <w:b/>
      <w:bCs/>
      <w:sz w:val="21"/>
      <w:szCs w:val="21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A84A96"/>
    <w:pPr>
      <w:widowControl w:val="0"/>
      <w:shd w:val="clear" w:color="auto" w:fill="FFFFFF"/>
      <w:spacing w:before="240" w:line="259" w:lineRule="exact"/>
      <w:ind w:hanging="340"/>
      <w:jc w:val="both"/>
    </w:pPr>
    <w:rPr>
      <w:rFonts w:ascii="Tahoma" w:eastAsia="Tahoma" w:hAnsi="Tahoma" w:cs="Tahoma"/>
      <w:kern w:val="2"/>
      <w:sz w:val="22"/>
      <w:szCs w:val="22"/>
      <w:lang w:eastAsia="en-US"/>
      <w14:ligatures w14:val="standardContextual"/>
    </w:rPr>
  </w:style>
  <w:style w:type="paragraph" w:customStyle="1" w:styleId="Teksttreci120">
    <w:name w:val="Tekst treści (12)"/>
    <w:basedOn w:val="Normalny"/>
    <w:link w:val="Teksttreci12"/>
    <w:rsid w:val="00A84A96"/>
    <w:pPr>
      <w:widowControl w:val="0"/>
      <w:shd w:val="clear" w:color="auto" w:fill="FFFFFF"/>
      <w:spacing w:after="240" w:line="259" w:lineRule="exact"/>
      <w:jc w:val="both"/>
    </w:pPr>
    <w:rPr>
      <w:rFonts w:ascii="Tahoma" w:eastAsia="Tahoma" w:hAnsi="Tahoma" w:cs="Tahoma"/>
      <w:b/>
      <w:bCs/>
      <w:kern w:val="2"/>
      <w:sz w:val="21"/>
      <w:szCs w:val="21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536</Words>
  <Characters>3217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Kaniowicz</dc:creator>
  <cp:keywords/>
  <dc:description/>
  <cp:lastModifiedBy>Bartosz Kaniowicz</cp:lastModifiedBy>
  <cp:revision>3</cp:revision>
  <dcterms:created xsi:type="dcterms:W3CDTF">2025-01-28T11:31:00Z</dcterms:created>
  <dcterms:modified xsi:type="dcterms:W3CDTF">2025-01-28T11:32:00Z</dcterms:modified>
</cp:coreProperties>
</file>